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1DE4" w14:textId="5D7CEA3A" w:rsidR="009E21AA" w:rsidRPr="00726080" w:rsidRDefault="00E33D4E" w:rsidP="0014356B">
      <w:pPr>
        <w:jc w:val="both"/>
        <w:rPr>
          <w:b/>
          <w:sz w:val="28"/>
          <w:szCs w:val="28"/>
          <w:u w:val="single"/>
          <w:lang w:val="nl-BE"/>
        </w:rPr>
      </w:pPr>
      <w:r w:rsidRPr="00726080">
        <w:rPr>
          <w:b/>
          <w:sz w:val="28"/>
          <w:szCs w:val="28"/>
          <w:u w:val="single"/>
          <w:lang w:val="nl-BE"/>
        </w:rPr>
        <w:t>Proc</w:t>
      </w:r>
      <w:r w:rsidR="00726080" w:rsidRPr="00726080">
        <w:rPr>
          <w:b/>
          <w:sz w:val="28"/>
          <w:szCs w:val="28"/>
          <w:u w:val="single"/>
          <w:lang w:val="nl-BE"/>
        </w:rPr>
        <w:t>e</w:t>
      </w:r>
      <w:r w:rsidRPr="00726080">
        <w:rPr>
          <w:b/>
          <w:sz w:val="28"/>
          <w:szCs w:val="28"/>
          <w:u w:val="single"/>
          <w:lang w:val="nl-BE"/>
        </w:rPr>
        <w:t>dure</w:t>
      </w:r>
      <w:r w:rsidR="005503DE" w:rsidRPr="00726080">
        <w:rPr>
          <w:b/>
          <w:sz w:val="28"/>
          <w:szCs w:val="28"/>
          <w:u w:val="single"/>
          <w:lang w:val="nl-BE"/>
        </w:rPr>
        <w:t xml:space="preserve"> </w:t>
      </w:r>
      <w:r w:rsidR="00726080">
        <w:rPr>
          <w:b/>
          <w:sz w:val="28"/>
          <w:szCs w:val="28"/>
          <w:u w:val="single"/>
          <w:lang w:val="nl-BE"/>
        </w:rPr>
        <w:t>voor</w:t>
      </w:r>
      <w:r w:rsidR="00726080" w:rsidRPr="00726080">
        <w:rPr>
          <w:b/>
          <w:sz w:val="28"/>
          <w:szCs w:val="28"/>
          <w:u w:val="single"/>
          <w:lang w:val="nl-BE"/>
        </w:rPr>
        <w:t xml:space="preserve"> opvorderingen</w:t>
      </w:r>
      <w:r w:rsidR="005B6AC7">
        <w:rPr>
          <w:b/>
          <w:sz w:val="28"/>
          <w:szCs w:val="28"/>
          <w:u w:val="single"/>
          <w:lang w:val="nl-BE"/>
        </w:rPr>
        <w:t xml:space="preserve"> gebaseerd op artikel 181 van de wet van 15 mei 2007 betreffende de civiele veiligheid</w:t>
      </w:r>
    </w:p>
    <w:p w14:paraId="51F19310" w14:textId="77777777" w:rsidR="00B204D8" w:rsidRPr="00726080" w:rsidRDefault="00B204D8" w:rsidP="0014356B">
      <w:pPr>
        <w:jc w:val="both"/>
        <w:rPr>
          <w:lang w:val="nl-BE"/>
        </w:rPr>
      </w:pPr>
    </w:p>
    <w:p w14:paraId="1DE7D514" w14:textId="550836A1" w:rsidR="00726080" w:rsidRDefault="001D3CF9" w:rsidP="0014356B">
      <w:pPr>
        <w:pStyle w:val="Lijstalinea"/>
        <w:numPr>
          <w:ilvl w:val="0"/>
          <w:numId w:val="7"/>
        </w:numPr>
        <w:jc w:val="both"/>
        <w:rPr>
          <w:lang w:val="nl-BE"/>
        </w:rPr>
      </w:pPr>
      <w:r>
        <w:rPr>
          <w:lang w:val="nl-BE"/>
        </w:rPr>
        <w:t>G</w:t>
      </w:r>
      <w:r w:rsidR="00726080" w:rsidRPr="00726080">
        <w:rPr>
          <w:lang w:val="nl-BE"/>
        </w:rPr>
        <w:t>aranderen</w:t>
      </w:r>
      <w:r w:rsidR="00726080">
        <w:rPr>
          <w:lang w:val="nl-BE"/>
        </w:rPr>
        <w:t xml:space="preserve"> dat de opvordering het enige mogelijke middel is om het vooropgestelde doel te bereiken.</w:t>
      </w:r>
    </w:p>
    <w:p w14:paraId="7C5EF42B" w14:textId="040EC45C" w:rsidR="00726080" w:rsidRPr="00726080" w:rsidRDefault="00726080" w:rsidP="0014356B">
      <w:pPr>
        <w:pStyle w:val="Lijstalinea"/>
        <w:spacing w:after="0"/>
        <w:jc w:val="both"/>
        <w:rPr>
          <w:lang w:val="nl-BE"/>
        </w:rPr>
      </w:pPr>
      <w:r w:rsidRPr="00726080">
        <w:rPr>
          <w:lang w:val="nl-BE"/>
        </w:rPr>
        <w:t xml:space="preserve">Een opvordering of opeising is een </w:t>
      </w:r>
      <w:r w:rsidRPr="00726080">
        <w:rPr>
          <w:b/>
          <w:lang w:val="nl-BE"/>
        </w:rPr>
        <w:t>uitzonderlijk mechanisme</w:t>
      </w:r>
      <w:r w:rsidRPr="00726080">
        <w:rPr>
          <w:lang w:val="nl-BE"/>
        </w:rPr>
        <w:t>, waardoor de openbare overheid prestaties oplegt aan fysieke personen of rechtspersonen, of zich het gebruik of de eigendom  toe-eigent van roerende goederen of het gebruik van onroerende goederen, zonder dat de toestemming van die personen of van de houders van die goederen vereist is.</w:t>
      </w:r>
      <w:r>
        <w:rPr>
          <w:lang w:val="nl-BE"/>
        </w:rPr>
        <w:t xml:space="preserve"> Als de prestatie of het goed verkregen kan worden op vrijwillige basis, via een huur of andere, altijd deze manier verkiezen.</w:t>
      </w:r>
    </w:p>
    <w:p w14:paraId="26A556DF" w14:textId="183B5B59" w:rsidR="00B204D8" w:rsidRDefault="00B204D8" w:rsidP="0014356B">
      <w:pPr>
        <w:spacing w:after="0"/>
        <w:jc w:val="both"/>
        <w:rPr>
          <w:lang w:val="nl-BE"/>
        </w:rPr>
      </w:pPr>
    </w:p>
    <w:p w14:paraId="25A5AD7B" w14:textId="77777777" w:rsidR="00091F3B" w:rsidRPr="00ED4441" w:rsidRDefault="00091F3B" w:rsidP="0014356B">
      <w:pPr>
        <w:pStyle w:val="Lijstalinea"/>
        <w:spacing w:after="0"/>
        <w:jc w:val="both"/>
        <w:rPr>
          <w:lang w:val="nl-BE"/>
        </w:rPr>
      </w:pPr>
      <w:r w:rsidRPr="00ED4441">
        <w:rPr>
          <w:lang w:val="nl-BE"/>
        </w:rPr>
        <w:t xml:space="preserve">Het doel van de opvordering is verbonden met de uitvoering van de opdrachten van de hulpverleningszones en de civiele bescherming. </w:t>
      </w:r>
    </w:p>
    <w:p w14:paraId="476614B2" w14:textId="77777777" w:rsidR="004E0423" w:rsidRPr="00ED4441" w:rsidRDefault="004E0423" w:rsidP="0014356B">
      <w:pPr>
        <w:pStyle w:val="Lijstalinea"/>
        <w:spacing w:after="0"/>
        <w:jc w:val="both"/>
        <w:rPr>
          <w:lang w:val="nl-BE"/>
        </w:rPr>
      </w:pPr>
    </w:p>
    <w:p w14:paraId="57DDC4D8" w14:textId="3408FE0E" w:rsidR="00091F3B" w:rsidRPr="00ED4441" w:rsidRDefault="00091F3B" w:rsidP="0014356B">
      <w:pPr>
        <w:pStyle w:val="Lijstalinea"/>
        <w:spacing w:after="0"/>
        <w:jc w:val="both"/>
        <w:rPr>
          <w:lang w:val="nl-BE"/>
        </w:rPr>
      </w:pPr>
      <w:r w:rsidRPr="00ED4441">
        <w:rPr>
          <w:lang w:val="nl-BE"/>
        </w:rPr>
        <w:t>Het is onnodig om over te gaan tot een opvordering indien de in België beschikbare openbare hulpdiensten binnen de gewenste tijd en  met voldoende middelen de rampen waarmee zij geconfronteerd worden</w:t>
      </w:r>
      <w:r w:rsidR="0088416C" w:rsidRPr="00ED4441">
        <w:rPr>
          <w:lang w:val="nl-BE"/>
        </w:rPr>
        <w:t>,</w:t>
      </w:r>
      <w:r w:rsidRPr="00ED4441">
        <w:rPr>
          <w:lang w:val="nl-BE"/>
        </w:rPr>
        <w:t xml:space="preserve"> kunnen bestrijden. De </w:t>
      </w:r>
      <w:r w:rsidR="00F55955" w:rsidRPr="00ED4441">
        <w:rPr>
          <w:lang w:val="nl-BE"/>
        </w:rPr>
        <w:t>verzoekende</w:t>
      </w:r>
      <w:r w:rsidR="0088416C" w:rsidRPr="00ED4441">
        <w:rPr>
          <w:lang w:val="nl-BE"/>
        </w:rPr>
        <w:t xml:space="preserve"> </w:t>
      </w:r>
      <w:r w:rsidRPr="00ED4441">
        <w:rPr>
          <w:lang w:val="nl-BE"/>
        </w:rPr>
        <w:t>overheid moet zich dus informeren of er binnen de openbare hulpdiensten voldoende middelen beschikbaar zijn om op te treden.</w:t>
      </w:r>
    </w:p>
    <w:p w14:paraId="382C33DC" w14:textId="12CE4030" w:rsidR="004E0423" w:rsidRPr="00ED4441" w:rsidRDefault="004E0423" w:rsidP="0014356B">
      <w:pPr>
        <w:spacing w:after="0"/>
        <w:jc w:val="both"/>
        <w:rPr>
          <w:lang w:val="nl-BE"/>
        </w:rPr>
      </w:pPr>
    </w:p>
    <w:p w14:paraId="2572E25E" w14:textId="4F301AE2" w:rsidR="00803A3B" w:rsidRDefault="001D3CF9" w:rsidP="0014356B">
      <w:pPr>
        <w:pStyle w:val="Lijstalinea"/>
        <w:numPr>
          <w:ilvl w:val="0"/>
          <w:numId w:val="7"/>
        </w:numPr>
        <w:jc w:val="both"/>
        <w:rPr>
          <w:lang w:val="nl-BE"/>
        </w:rPr>
      </w:pPr>
      <w:r w:rsidRPr="001D3CF9">
        <w:rPr>
          <w:lang w:val="nl-BE"/>
        </w:rPr>
        <w:t>Precies de opgevorder</w:t>
      </w:r>
      <w:r>
        <w:rPr>
          <w:lang w:val="nl-BE"/>
        </w:rPr>
        <w:t xml:space="preserve">de </w:t>
      </w:r>
      <w:r w:rsidRPr="001D3CF9">
        <w:rPr>
          <w:lang w:val="nl-BE"/>
        </w:rPr>
        <w:t>fysieke persoon of de rechtspersoon</w:t>
      </w:r>
      <w:r w:rsidR="00C07E7B">
        <w:rPr>
          <w:lang w:val="nl-BE"/>
        </w:rPr>
        <w:t xml:space="preserve"> (naam, voornaam, adres, …)</w:t>
      </w:r>
      <w:r w:rsidRPr="001D3CF9">
        <w:rPr>
          <w:lang w:val="nl-BE"/>
        </w:rPr>
        <w:t xml:space="preserve"> </w:t>
      </w:r>
      <w:r w:rsidRPr="001D3CF9">
        <w:rPr>
          <w:b/>
          <w:lang w:val="nl-BE"/>
        </w:rPr>
        <w:t>bepalen</w:t>
      </w:r>
      <w:r w:rsidRPr="001D3CF9">
        <w:rPr>
          <w:lang w:val="nl-BE"/>
        </w:rPr>
        <w:t>.</w:t>
      </w:r>
    </w:p>
    <w:p w14:paraId="02A7DEB9" w14:textId="37F2577D" w:rsidR="001D3CF9" w:rsidRPr="001D3CF9" w:rsidRDefault="001D3CF9" w:rsidP="0014356B">
      <w:pPr>
        <w:pStyle w:val="Lijstalinea"/>
        <w:jc w:val="both"/>
        <w:rPr>
          <w:lang w:val="nl-BE"/>
        </w:rPr>
      </w:pPr>
      <w:r>
        <w:rPr>
          <w:lang w:val="nl-BE"/>
        </w:rPr>
        <w:t xml:space="preserve">Precies de opgevorderde goederen (hoeveelheid, …) </w:t>
      </w:r>
      <w:r w:rsidRPr="001D3CF9">
        <w:rPr>
          <w:b/>
          <w:lang w:val="nl-BE"/>
        </w:rPr>
        <w:t>bepalen</w:t>
      </w:r>
      <w:r>
        <w:rPr>
          <w:lang w:val="nl-BE"/>
        </w:rPr>
        <w:t>.</w:t>
      </w:r>
    </w:p>
    <w:p w14:paraId="01655D27" w14:textId="77777777" w:rsidR="001D3CF9" w:rsidRPr="001D3CF9" w:rsidRDefault="001D3CF9" w:rsidP="0014356B">
      <w:pPr>
        <w:pStyle w:val="Lijstalinea"/>
        <w:jc w:val="both"/>
        <w:rPr>
          <w:lang w:val="nl-BE"/>
        </w:rPr>
      </w:pPr>
    </w:p>
    <w:p w14:paraId="3725643B" w14:textId="34DC9F59" w:rsidR="00533872" w:rsidRPr="00812FAD" w:rsidRDefault="001D3CF9" w:rsidP="0014356B">
      <w:pPr>
        <w:pStyle w:val="Lijstalinea"/>
        <w:numPr>
          <w:ilvl w:val="0"/>
          <w:numId w:val="7"/>
        </w:numPr>
        <w:jc w:val="both"/>
        <w:rPr>
          <w:lang w:val="nl-BE"/>
        </w:rPr>
      </w:pPr>
      <w:r w:rsidRPr="001D3CF9">
        <w:rPr>
          <w:b/>
          <w:lang w:val="nl-BE"/>
        </w:rPr>
        <w:t xml:space="preserve">Drie documenten moeten worden opgesteld. </w:t>
      </w:r>
      <w:r w:rsidRPr="001D3CF9">
        <w:rPr>
          <w:lang w:val="nl-BE"/>
        </w:rPr>
        <w:t>Type-formulieren zijn ontworpen om u te helpen met het opstellen van deze drie documenten.</w:t>
      </w:r>
      <w:r>
        <w:rPr>
          <w:b/>
          <w:lang w:val="nl-BE"/>
        </w:rPr>
        <w:t xml:space="preserve"> </w:t>
      </w:r>
    </w:p>
    <w:p w14:paraId="3F7BF37C" w14:textId="31AE5879" w:rsidR="00803A3B" w:rsidRPr="00AD1DA3" w:rsidRDefault="001D3CF9" w:rsidP="0014356B">
      <w:pPr>
        <w:pStyle w:val="Lijstalinea"/>
        <w:numPr>
          <w:ilvl w:val="0"/>
          <w:numId w:val="5"/>
        </w:numPr>
        <w:spacing w:after="0"/>
        <w:ind w:left="1418"/>
        <w:jc w:val="both"/>
        <w:rPr>
          <w:u w:val="single"/>
        </w:rPr>
      </w:pPr>
      <w:r>
        <w:rPr>
          <w:u w:val="single"/>
        </w:rPr>
        <w:t xml:space="preserve">Het </w:t>
      </w:r>
      <w:proofErr w:type="spellStart"/>
      <w:r>
        <w:rPr>
          <w:u w:val="single"/>
        </w:rPr>
        <w:t>opvorderingsbevel</w:t>
      </w:r>
      <w:proofErr w:type="spellEnd"/>
      <w:r w:rsidR="00803A3B">
        <w:rPr>
          <w:u w:val="single"/>
        </w:rPr>
        <w:t>.</w:t>
      </w:r>
    </w:p>
    <w:p w14:paraId="0243DBDE" w14:textId="77777777" w:rsidR="001D3CF9" w:rsidRPr="001D3CF9" w:rsidRDefault="001D3CF9" w:rsidP="0014356B">
      <w:pPr>
        <w:spacing w:after="0"/>
        <w:ind w:left="1416" w:firstLine="2"/>
        <w:jc w:val="both"/>
        <w:rPr>
          <w:lang w:val="nl-BE"/>
        </w:rPr>
      </w:pPr>
      <w:r w:rsidRPr="001D3CF9">
        <w:rPr>
          <w:lang w:val="nl-BE"/>
        </w:rPr>
        <w:t xml:space="preserve">Het opvorderingsbevel wordt in principe </w:t>
      </w:r>
      <w:r w:rsidRPr="001D3CF9">
        <w:rPr>
          <w:b/>
          <w:lang w:val="nl-BE"/>
        </w:rPr>
        <w:t>schriftelijk</w:t>
      </w:r>
      <w:r w:rsidRPr="001D3CF9">
        <w:rPr>
          <w:lang w:val="nl-BE"/>
        </w:rPr>
        <w:t xml:space="preserve"> geformuleerd, en moet op zijn minst de volgende gegevens vermelden:</w:t>
      </w:r>
    </w:p>
    <w:p w14:paraId="005689C0" w14:textId="326C3FE4" w:rsidR="001D3CF9" w:rsidRPr="001D3CF9" w:rsidRDefault="001D3CF9" w:rsidP="0014356B">
      <w:pPr>
        <w:pStyle w:val="Lijstalinea"/>
        <w:numPr>
          <w:ilvl w:val="0"/>
          <w:numId w:val="8"/>
        </w:numPr>
        <w:spacing w:after="0"/>
        <w:jc w:val="both"/>
        <w:rPr>
          <w:lang w:val="nl-BE"/>
        </w:rPr>
      </w:pPr>
      <w:r w:rsidRPr="001D3CF9">
        <w:rPr>
          <w:lang w:val="nl-BE"/>
        </w:rPr>
        <w:t xml:space="preserve">de </w:t>
      </w:r>
      <w:r w:rsidRPr="001D3CF9">
        <w:rPr>
          <w:b/>
          <w:lang w:val="nl-BE"/>
        </w:rPr>
        <w:t>omstandigheden</w:t>
      </w:r>
      <w:r w:rsidRPr="001D3CF9">
        <w:rPr>
          <w:lang w:val="nl-BE"/>
        </w:rPr>
        <w:t xml:space="preserve"> die de opvordering rechtvaardigen;</w:t>
      </w:r>
    </w:p>
    <w:p w14:paraId="12EF43C7" w14:textId="7DDBDDD9" w:rsidR="001D3CF9" w:rsidRPr="001D3CF9" w:rsidRDefault="001D3CF9" w:rsidP="0014356B">
      <w:pPr>
        <w:pStyle w:val="Lijstalinea"/>
        <w:numPr>
          <w:ilvl w:val="0"/>
          <w:numId w:val="8"/>
        </w:numPr>
        <w:spacing w:after="0"/>
        <w:jc w:val="both"/>
        <w:rPr>
          <w:lang w:val="nl-BE"/>
        </w:rPr>
      </w:pPr>
      <w:r w:rsidRPr="001D3CF9">
        <w:rPr>
          <w:lang w:val="nl-BE"/>
        </w:rPr>
        <w:t xml:space="preserve">de </w:t>
      </w:r>
      <w:r w:rsidRPr="001D3CF9">
        <w:rPr>
          <w:b/>
          <w:lang w:val="nl-BE"/>
        </w:rPr>
        <w:t>aard</w:t>
      </w:r>
      <w:r w:rsidRPr="001D3CF9">
        <w:rPr>
          <w:lang w:val="nl-BE"/>
        </w:rPr>
        <w:t xml:space="preserve">, de </w:t>
      </w:r>
      <w:r w:rsidRPr="001D3CF9">
        <w:rPr>
          <w:b/>
          <w:lang w:val="nl-BE"/>
        </w:rPr>
        <w:t>hoeveelheid</w:t>
      </w:r>
      <w:r w:rsidRPr="001D3CF9">
        <w:rPr>
          <w:lang w:val="nl-BE"/>
        </w:rPr>
        <w:t xml:space="preserve"> en de </w:t>
      </w:r>
      <w:r w:rsidRPr="001D3CF9">
        <w:rPr>
          <w:b/>
          <w:lang w:val="nl-BE"/>
        </w:rPr>
        <w:t>duur</w:t>
      </w:r>
      <w:r w:rsidRPr="001D3CF9">
        <w:rPr>
          <w:lang w:val="nl-BE"/>
        </w:rPr>
        <w:t xml:space="preserve"> van de opgelegde prestaties;</w:t>
      </w:r>
    </w:p>
    <w:p w14:paraId="0007D62C" w14:textId="76DACDBB" w:rsidR="001D3CF9" w:rsidRPr="001D3CF9" w:rsidRDefault="001D3CF9" w:rsidP="0014356B">
      <w:pPr>
        <w:pStyle w:val="Lijstalinea"/>
        <w:numPr>
          <w:ilvl w:val="0"/>
          <w:numId w:val="8"/>
        </w:numPr>
        <w:spacing w:after="0"/>
        <w:jc w:val="both"/>
        <w:rPr>
          <w:lang w:val="nl-BE"/>
        </w:rPr>
      </w:pPr>
      <w:r w:rsidRPr="001D3CF9">
        <w:rPr>
          <w:lang w:val="nl-BE"/>
        </w:rPr>
        <w:t xml:space="preserve">de </w:t>
      </w:r>
      <w:r w:rsidRPr="001D3CF9">
        <w:rPr>
          <w:b/>
          <w:lang w:val="nl-BE"/>
        </w:rPr>
        <w:t>voorwaarden</w:t>
      </w:r>
      <w:r w:rsidRPr="001D3CF9">
        <w:rPr>
          <w:lang w:val="nl-BE"/>
        </w:rPr>
        <w:t xml:space="preserve"> waaronder de prestaties moeten worden uitgevoerd.</w:t>
      </w:r>
    </w:p>
    <w:p w14:paraId="1A238AB5" w14:textId="2F356AD7" w:rsidR="001D3CF9" w:rsidRDefault="001D3CF9" w:rsidP="0014356B">
      <w:pPr>
        <w:spacing w:after="0"/>
        <w:ind w:left="1418"/>
        <w:jc w:val="both"/>
        <w:rPr>
          <w:lang w:val="nl-BE"/>
        </w:rPr>
      </w:pPr>
      <w:r w:rsidRPr="001D3CF9">
        <w:rPr>
          <w:lang w:val="nl-BE"/>
        </w:rPr>
        <w:t xml:space="preserve">In geval van uiterste hoogdringendheid, kan het opvorderingsbevel </w:t>
      </w:r>
      <w:r w:rsidRPr="001D3CF9">
        <w:rPr>
          <w:u w:val="single"/>
          <w:lang w:val="nl-BE"/>
        </w:rPr>
        <w:t>mondeling</w:t>
      </w:r>
      <w:r w:rsidRPr="001D3CF9">
        <w:rPr>
          <w:lang w:val="nl-BE"/>
        </w:rPr>
        <w:t xml:space="preserve"> geformuleerd worden. In dit geval bevestigt de verzoekende overheid het bevel zo snel mogelijk schriftelijk, met motivering van de </w:t>
      </w:r>
      <w:r w:rsidRPr="00ED4441">
        <w:rPr>
          <w:lang w:val="nl-BE"/>
        </w:rPr>
        <w:t>hoogdringendheid</w:t>
      </w:r>
      <w:r w:rsidR="004E0423" w:rsidRPr="00ED4441">
        <w:rPr>
          <w:lang w:val="nl-BE"/>
        </w:rPr>
        <w:t xml:space="preserve"> </w:t>
      </w:r>
      <w:r w:rsidR="003F7D3E" w:rsidRPr="00ED4441">
        <w:rPr>
          <w:lang w:val="nl-BE"/>
        </w:rPr>
        <w:t>die</w:t>
      </w:r>
      <w:r w:rsidR="0088416C" w:rsidRPr="00ED4441">
        <w:rPr>
          <w:lang w:val="nl-BE"/>
        </w:rPr>
        <w:t xml:space="preserve"> aanleiding gaf tot</w:t>
      </w:r>
      <w:r w:rsidR="003F7D3E" w:rsidRPr="00ED4441">
        <w:rPr>
          <w:lang w:val="nl-BE"/>
        </w:rPr>
        <w:t xml:space="preserve"> h</w:t>
      </w:r>
      <w:r w:rsidR="0088416C" w:rsidRPr="00ED4441">
        <w:rPr>
          <w:lang w:val="nl-BE"/>
        </w:rPr>
        <w:t>et mondelinge opvorderingsbevel</w:t>
      </w:r>
      <w:r w:rsidR="003F7D3E" w:rsidRPr="00ED4441">
        <w:rPr>
          <w:lang w:val="nl-BE"/>
        </w:rPr>
        <w:t xml:space="preserve">. </w:t>
      </w:r>
    </w:p>
    <w:p w14:paraId="0389BD90" w14:textId="77777777" w:rsidR="0014356B" w:rsidRDefault="0014356B" w:rsidP="0014356B">
      <w:pPr>
        <w:spacing w:after="0"/>
        <w:ind w:left="1418"/>
        <w:jc w:val="both"/>
        <w:rPr>
          <w:lang w:val="nl-BE"/>
        </w:rPr>
      </w:pPr>
    </w:p>
    <w:p w14:paraId="460F0F8C" w14:textId="178449C6" w:rsidR="00803A3B" w:rsidRPr="001D3CF9" w:rsidRDefault="001D3CF9" w:rsidP="0014356B">
      <w:pPr>
        <w:pStyle w:val="Lijstalinea"/>
        <w:numPr>
          <w:ilvl w:val="0"/>
          <w:numId w:val="5"/>
        </w:numPr>
        <w:spacing w:after="0"/>
        <w:ind w:left="1418"/>
        <w:jc w:val="both"/>
        <w:rPr>
          <w:u w:val="single"/>
          <w:lang w:val="nl-BE"/>
        </w:rPr>
      </w:pPr>
      <w:r w:rsidRPr="001D3CF9">
        <w:rPr>
          <w:u w:val="single"/>
          <w:lang w:val="nl-BE"/>
        </w:rPr>
        <w:t>De ontvangstbevestiging van het opvorderingsbevel</w:t>
      </w:r>
      <w:r w:rsidR="00803A3B" w:rsidRPr="001D3CF9">
        <w:rPr>
          <w:u w:val="single"/>
          <w:lang w:val="nl-BE"/>
        </w:rPr>
        <w:t>.</w:t>
      </w:r>
    </w:p>
    <w:p w14:paraId="29F680CD" w14:textId="25F33A0F" w:rsidR="001D3CF9" w:rsidRPr="001D3CF9" w:rsidRDefault="001D3CF9" w:rsidP="0014356B">
      <w:pPr>
        <w:spacing w:after="0"/>
        <w:ind w:left="1416"/>
        <w:jc w:val="both"/>
        <w:rPr>
          <w:lang w:val="nl-BE"/>
        </w:rPr>
      </w:pPr>
      <w:r w:rsidRPr="001D3CF9">
        <w:rPr>
          <w:lang w:val="nl-BE"/>
        </w:rPr>
        <w:t xml:space="preserve">Het opvorderingsbevel moet rechtstreeks worden betekend met </w:t>
      </w:r>
      <w:r w:rsidRPr="001D3CF9">
        <w:rPr>
          <w:u w:val="single"/>
          <w:lang w:val="nl-BE"/>
        </w:rPr>
        <w:t>ontvangstbevestiging</w:t>
      </w:r>
      <w:r w:rsidRPr="001D3CF9">
        <w:rPr>
          <w:lang w:val="nl-BE"/>
        </w:rPr>
        <w:t xml:space="preserve"> door de verzoekende overheid :</w:t>
      </w:r>
    </w:p>
    <w:p w14:paraId="70B807E5" w14:textId="5AF22A9A" w:rsidR="001D3CF9" w:rsidRPr="001D3CF9" w:rsidRDefault="001D3CF9" w:rsidP="0014356B">
      <w:pPr>
        <w:pStyle w:val="Lijstalinea"/>
        <w:numPr>
          <w:ilvl w:val="0"/>
          <w:numId w:val="9"/>
        </w:numPr>
        <w:spacing w:after="0"/>
        <w:jc w:val="both"/>
        <w:rPr>
          <w:lang w:val="nl-BE"/>
        </w:rPr>
      </w:pPr>
      <w:r w:rsidRPr="001D3CF9">
        <w:rPr>
          <w:lang w:val="nl-BE"/>
        </w:rPr>
        <w:lastRenderedPageBreak/>
        <w:t>aan de natuurlijke persoon in geval van individuele opvordering;</w:t>
      </w:r>
    </w:p>
    <w:p w14:paraId="5F13CAB6" w14:textId="574838A0" w:rsidR="001D3CF9" w:rsidRPr="001D3CF9" w:rsidRDefault="001D3CF9" w:rsidP="0014356B">
      <w:pPr>
        <w:pStyle w:val="Lijstalinea"/>
        <w:numPr>
          <w:ilvl w:val="0"/>
          <w:numId w:val="9"/>
        </w:numPr>
        <w:spacing w:after="0"/>
        <w:jc w:val="both"/>
        <w:rPr>
          <w:lang w:val="nl-BE"/>
        </w:rPr>
      </w:pPr>
      <w:r w:rsidRPr="001D3CF9">
        <w:rPr>
          <w:lang w:val="nl-BE"/>
        </w:rPr>
        <w:t>aan de persoon die verantwoordelijk is voor de organisatie in geval van collectieve opvordering;</w:t>
      </w:r>
    </w:p>
    <w:p w14:paraId="15547EF6" w14:textId="112F860D" w:rsidR="001D3CF9" w:rsidRPr="001D3CF9" w:rsidRDefault="001D3CF9" w:rsidP="0014356B">
      <w:pPr>
        <w:pStyle w:val="Lijstalinea"/>
        <w:numPr>
          <w:ilvl w:val="0"/>
          <w:numId w:val="9"/>
        </w:numPr>
        <w:spacing w:after="0"/>
        <w:jc w:val="both"/>
        <w:rPr>
          <w:lang w:val="nl-BE"/>
        </w:rPr>
      </w:pPr>
      <w:r w:rsidRPr="001D3CF9">
        <w:rPr>
          <w:lang w:val="nl-BE"/>
        </w:rPr>
        <w:t xml:space="preserve">aan de persoon die het effectieve genot heeft van het goed in geval van de opvordering van goederen. </w:t>
      </w:r>
    </w:p>
    <w:p w14:paraId="2AA7D5EF" w14:textId="3024ADBA" w:rsidR="001D3CF9" w:rsidRDefault="001D3CF9" w:rsidP="0014356B">
      <w:pPr>
        <w:spacing w:after="0"/>
        <w:ind w:left="1416"/>
        <w:jc w:val="both"/>
        <w:rPr>
          <w:lang w:val="nl-BE"/>
        </w:rPr>
      </w:pPr>
      <w:r w:rsidRPr="001D3CF9">
        <w:rPr>
          <w:lang w:val="nl-BE"/>
        </w:rPr>
        <w:t xml:space="preserve">In geval van opvordering van goederen in gebruik, moet op voorhand en op tegensprekelijke wijze een </w:t>
      </w:r>
      <w:r w:rsidRPr="001D3CF9">
        <w:rPr>
          <w:u w:val="single"/>
          <w:lang w:val="nl-BE"/>
        </w:rPr>
        <w:t>boedelbeschrijving</w:t>
      </w:r>
      <w:r w:rsidRPr="001D3CF9">
        <w:rPr>
          <w:lang w:val="nl-BE"/>
        </w:rPr>
        <w:t xml:space="preserve"> worden opgesteld, zodat eventuele beschadigingen of</w:t>
      </w:r>
      <w:r w:rsidR="00ED4441">
        <w:rPr>
          <w:lang w:val="nl-BE"/>
        </w:rPr>
        <w:t xml:space="preserve"> wijzigingen</w:t>
      </w:r>
      <w:r w:rsidRPr="001D3CF9">
        <w:rPr>
          <w:lang w:val="nl-BE"/>
        </w:rPr>
        <w:t xml:space="preserve"> aan het einde van de opvordering kunnen worden vastgesteld.</w:t>
      </w:r>
      <w:r>
        <w:rPr>
          <w:lang w:val="nl-BE"/>
        </w:rPr>
        <w:t xml:space="preserve"> Dat is niet nodig voor verbruiksgoederen.</w:t>
      </w:r>
    </w:p>
    <w:p w14:paraId="5C3A7976" w14:textId="03014AB3" w:rsidR="005B6AC7" w:rsidRDefault="005B6AC7" w:rsidP="0014356B">
      <w:pPr>
        <w:spacing w:after="0"/>
        <w:ind w:left="1416"/>
        <w:jc w:val="both"/>
        <w:rPr>
          <w:lang w:val="nl-BE"/>
        </w:rPr>
      </w:pPr>
      <w:r>
        <w:rPr>
          <w:lang w:val="nl-BE"/>
        </w:rPr>
        <w:t xml:space="preserve">Als de ontvangstbevestiging de boedelbeschrijving </w:t>
      </w:r>
      <w:r w:rsidR="00ED4441">
        <w:rPr>
          <w:lang w:val="nl-BE"/>
        </w:rPr>
        <w:t>omvat</w:t>
      </w:r>
      <w:r>
        <w:rPr>
          <w:lang w:val="nl-BE"/>
        </w:rPr>
        <w:t xml:space="preserve">, wordt deze getekend door de afgevaardigde </w:t>
      </w:r>
      <w:r w:rsidR="003F7D3E">
        <w:rPr>
          <w:lang w:val="nl-BE"/>
        </w:rPr>
        <w:t xml:space="preserve">van de </w:t>
      </w:r>
      <w:r w:rsidR="00F55955">
        <w:rPr>
          <w:lang w:val="nl-BE"/>
        </w:rPr>
        <w:t>verzoekende</w:t>
      </w:r>
      <w:r w:rsidR="003F7D3E">
        <w:rPr>
          <w:lang w:val="nl-BE"/>
        </w:rPr>
        <w:t xml:space="preserve"> overheid </w:t>
      </w:r>
      <w:r>
        <w:rPr>
          <w:lang w:val="nl-BE"/>
        </w:rPr>
        <w:t xml:space="preserve">die ter plekke aanwezig is. </w:t>
      </w:r>
    </w:p>
    <w:p w14:paraId="0A836847" w14:textId="77777777" w:rsidR="0014356B" w:rsidRDefault="0014356B" w:rsidP="0014356B">
      <w:pPr>
        <w:spacing w:after="0"/>
        <w:ind w:left="1416"/>
        <w:jc w:val="both"/>
        <w:rPr>
          <w:lang w:val="nl-BE"/>
        </w:rPr>
      </w:pPr>
    </w:p>
    <w:p w14:paraId="79A6ECB4" w14:textId="78449255" w:rsidR="00803A3B" w:rsidRPr="00073F20" w:rsidRDefault="00073F20" w:rsidP="0014356B">
      <w:pPr>
        <w:pStyle w:val="Lijstalinea"/>
        <w:numPr>
          <w:ilvl w:val="0"/>
          <w:numId w:val="5"/>
        </w:numPr>
        <w:spacing w:after="0"/>
        <w:ind w:left="1418"/>
        <w:jc w:val="both"/>
        <w:rPr>
          <w:u w:val="single"/>
          <w:lang w:val="nl-BE"/>
        </w:rPr>
      </w:pPr>
      <w:r w:rsidRPr="00073F20">
        <w:rPr>
          <w:u w:val="single"/>
          <w:lang w:val="nl-BE"/>
        </w:rPr>
        <w:t>De ontvangstbevesti</w:t>
      </w:r>
      <w:r>
        <w:rPr>
          <w:u w:val="single"/>
          <w:lang w:val="nl-BE"/>
        </w:rPr>
        <w:t>ging van prestaties / geleverde</w:t>
      </w:r>
      <w:r w:rsidRPr="00073F20">
        <w:rPr>
          <w:u w:val="single"/>
          <w:lang w:val="nl-BE"/>
        </w:rPr>
        <w:t xml:space="preserve"> goederen</w:t>
      </w:r>
      <w:r w:rsidR="00803A3B" w:rsidRPr="00073F20">
        <w:rPr>
          <w:u w:val="single"/>
          <w:lang w:val="nl-BE"/>
        </w:rPr>
        <w:t>.</w:t>
      </w:r>
    </w:p>
    <w:p w14:paraId="184F8900" w14:textId="0F2460DA" w:rsidR="00073F20" w:rsidRDefault="00073F20" w:rsidP="0014356B">
      <w:pPr>
        <w:spacing w:after="0"/>
        <w:ind w:left="1416"/>
        <w:jc w:val="both"/>
        <w:rPr>
          <w:lang w:val="nl-BE"/>
        </w:rPr>
      </w:pPr>
      <w:r w:rsidRPr="00073F20">
        <w:rPr>
          <w:lang w:val="nl-BE"/>
        </w:rPr>
        <w:t xml:space="preserve">Na uitvoering van de opvordering, verschaft de verzoekende overheid een </w:t>
      </w:r>
      <w:r w:rsidRPr="00073F20">
        <w:rPr>
          <w:u w:val="single"/>
          <w:lang w:val="nl-BE"/>
        </w:rPr>
        <w:t>ontvangstbevestiging van de prestaties / geleverde goederen</w:t>
      </w:r>
      <w:r>
        <w:rPr>
          <w:lang w:val="nl-BE"/>
        </w:rPr>
        <w:t xml:space="preserve"> </w:t>
      </w:r>
      <w:r w:rsidRPr="00073F20">
        <w:rPr>
          <w:lang w:val="nl-BE"/>
        </w:rPr>
        <w:t xml:space="preserve">geleverd aan de opgevorderde personen of aan de personen die het effectieve genot van het goed hebben. </w:t>
      </w:r>
    </w:p>
    <w:p w14:paraId="67860E09" w14:textId="14AA5F54" w:rsidR="004E0423" w:rsidRDefault="005B6AC7" w:rsidP="00717F4D">
      <w:pPr>
        <w:spacing w:after="0"/>
        <w:ind w:left="1416"/>
        <w:jc w:val="both"/>
        <w:rPr>
          <w:lang w:val="nl-BE"/>
        </w:rPr>
      </w:pPr>
      <w:r>
        <w:rPr>
          <w:lang w:val="nl-BE"/>
        </w:rPr>
        <w:t>Die bevestiging zal onmiddellijk kunnen worden ondertekend</w:t>
      </w:r>
      <w:r w:rsidR="004A4AA5">
        <w:rPr>
          <w:lang w:val="nl-BE"/>
        </w:rPr>
        <w:t xml:space="preserve"> door de afgevaardigde </w:t>
      </w:r>
      <w:r w:rsidR="003F7D3E">
        <w:rPr>
          <w:lang w:val="nl-BE"/>
        </w:rPr>
        <w:t xml:space="preserve">van de </w:t>
      </w:r>
      <w:r w:rsidR="00F55955">
        <w:rPr>
          <w:lang w:val="nl-BE"/>
        </w:rPr>
        <w:t>verzoekende</w:t>
      </w:r>
      <w:r w:rsidR="003F7D3E">
        <w:rPr>
          <w:lang w:val="nl-BE"/>
        </w:rPr>
        <w:t xml:space="preserve"> overheid  </w:t>
      </w:r>
      <w:r>
        <w:rPr>
          <w:lang w:val="nl-BE"/>
        </w:rPr>
        <w:t xml:space="preserve">die ter plekke aanwezig is indien het/de goed(eren) worden </w:t>
      </w:r>
      <w:r w:rsidR="004A4AA5">
        <w:rPr>
          <w:lang w:val="nl-BE"/>
        </w:rPr>
        <w:t>overhandigd</w:t>
      </w:r>
      <w:r>
        <w:rPr>
          <w:lang w:val="nl-BE"/>
        </w:rPr>
        <w:t xml:space="preserve"> of de prestatie(s) worden uitgevoerd op het moment van de opvordering.</w:t>
      </w:r>
    </w:p>
    <w:p w14:paraId="18A9CC3B" w14:textId="77777777" w:rsidR="00717F4D" w:rsidRPr="00812FAD" w:rsidRDefault="00717F4D" w:rsidP="00717F4D">
      <w:pPr>
        <w:spacing w:after="0"/>
        <w:ind w:left="1416"/>
        <w:jc w:val="both"/>
        <w:rPr>
          <w:lang w:val="nl-BE"/>
        </w:rPr>
      </w:pPr>
    </w:p>
    <w:p w14:paraId="7CD05D29" w14:textId="4794A2EF" w:rsidR="00533872" w:rsidRDefault="004A3522" w:rsidP="0014356B">
      <w:pPr>
        <w:pStyle w:val="Lijstalinea"/>
        <w:numPr>
          <w:ilvl w:val="0"/>
          <w:numId w:val="7"/>
        </w:numPr>
        <w:jc w:val="both"/>
        <w:rPr>
          <w:b/>
        </w:rPr>
      </w:pPr>
      <w:proofErr w:type="spellStart"/>
      <w:r>
        <w:rPr>
          <w:b/>
        </w:rPr>
        <w:t>Kosten</w:t>
      </w:r>
      <w:proofErr w:type="spellEnd"/>
      <w:r w:rsidR="00803A3B" w:rsidRPr="00C8470E">
        <w:rPr>
          <w:b/>
        </w:rPr>
        <w:t>.</w:t>
      </w:r>
    </w:p>
    <w:p w14:paraId="4AD93929" w14:textId="77777777" w:rsidR="00533872" w:rsidRPr="00533872" w:rsidRDefault="00533872" w:rsidP="0014356B">
      <w:pPr>
        <w:pStyle w:val="Lijstalinea"/>
        <w:jc w:val="both"/>
        <w:rPr>
          <w:b/>
        </w:rPr>
      </w:pPr>
    </w:p>
    <w:p w14:paraId="38FBEC8C" w14:textId="2EB707C4" w:rsidR="00FE4E8A" w:rsidRPr="00706E55" w:rsidRDefault="00FE4E8A" w:rsidP="0014356B">
      <w:pPr>
        <w:pStyle w:val="Lijstalinea"/>
        <w:ind w:left="708"/>
        <w:jc w:val="both"/>
        <w:rPr>
          <w:lang w:val="nl-BE"/>
        </w:rPr>
      </w:pPr>
      <w:r w:rsidRPr="00FE4E8A">
        <w:rPr>
          <w:lang w:val="nl-BE"/>
        </w:rPr>
        <w:t xml:space="preserve">De kosten verbonden aan de opvordering worden gedragen door de overheid </w:t>
      </w:r>
      <w:r>
        <w:rPr>
          <w:lang w:val="nl-BE"/>
        </w:rPr>
        <w:t>die overgegaan is tot de opvordering, zijnde de Staat (</w:t>
      </w:r>
      <w:r w:rsidR="003F7D3E">
        <w:rPr>
          <w:lang w:val="nl-BE"/>
        </w:rPr>
        <w:t xml:space="preserve">voor de opvorderingen uitgevoerd door de </w:t>
      </w:r>
      <w:r>
        <w:rPr>
          <w:lang w:val="nl-BE"/>
        </w:rPr>
        <w:t xml:space="preserve">Minister, </w:t>
      </w:r>
      <w:r w:rsidR="00552E08">
        <w:rPr>
          <w:lang w:val="nl-BE"/>
        </w:rPr>
        <w:t xml:space="preserve">de </w:t>
      </w:r>
      <w:r>
        <w:rPr>
          <w:lang w:val="nl-BE"/>
        </w:rPr>
        <w:t xml:space="preserve">AD Civiele Veiligheid, </w:t>
      </w:r>
      <w:r w:rsidR="00552E08">
        <w:rPr>
          <w:lang w:val="nl-BE"/>
        </w:rPr>
        <w:t xml:space="preserve">de </w:t>
      </w:r>
      <w:r>
        <w:rPr>
          <w:lang w:val="nl-BE"/>
        </w:rPr>
        <w:t>gouverneurs</w:t>
      </w:r>
      <w:r w:rsidR="00552E08">
        <w:rPr>
          <w:lang w:val="nl-BE"/>
        </w:rPr>
        <w:t xml:space="preserve"> of de</w:t>
      </w:r>
      <w:r>
        <w:rPr>
          <w:lang w:val="nl-BE"/>
        </w:rPr>
        <w:t xml:space="preserve"> leidinggevende ambtenaren van de civiele bescherming), de gemeente (</w:t>
      </w:r>
      <w:r w:rsidR="003F7D3E">
        <w:rPr>
          <w:lang w:val="nl-BE"/>
        </w:rPr>
        <w:t xml:space="preserve">voor de opvorderingen uitgevoerd door de </w:t>
      </w:r>
      <w:r>
        <w:rPr>
          <w:lang w:val="nl-BE"/>
        </w:rPr>
        <w:t xml:space="preserve">burgemeester) of de hulpverleningszone </w:t>
      </w:r>
      <w:r w:rsidRPr="00706E55">
        <w:rPr>
          <w:lang w:val="nl-BE"/>
        </w:rPr>
        <w:t>(</w:t>
      </w:r>
      <w:r w:rsidR="003F7D3E">
        <w:rPr>
          <w:lang w:val="nl-BE"/>
        </w:rPr>
        <w:t xml:space="preserve">voor de opvorderingen uitgevoerd door de </w:t>
      </w:r>
      <w:r w:rsidRPr="00706E55">
        <w:rPr>
          <w:lang w:val="nl-BE"/>
        </w:rPr>
        <w:t>zonecommandanten of brandweerofficieren).</w:t>
      </w:r>
    </w:p>
    <w:p w14:paraId="7644B935" w14:textId="4721E24C" w:rsidR="00D75702" w:rsidRDefault="00D75702" w:rsidP="0014356B">
      <w:pPr>
        <w:pStyle w:val="Lijstalinea"/>
        <w:ind w:left="708"/>
        <w:jc w:val="both"/>
        <w:rPr>
          <w:lang w:val="nl-BE"/>
        </w:rPr>
      </w:pPr>
      <w:r w:rsidRPr="00706E55">
        <w:rPr>
          <w:lang w:val="nl-NL"/>
        </w:rPr>
        <w:t>De kosten van de opvorderingen uitgevoerd door de burgemeester/zonecommandant om bijzondere maatregelen te nemen in het kader van de Covid-19-pandemie en waarvoor hij het akkoord van de gouverneur verkregen heeft (waarvoor hij zelf het akkoord verkregen heeft van de Minister) zullen kunnen worden aangerekend op de interdepartementale provisie voor de Covid-19-pandemie.</w:t>
      </w:r>
    </w:p>
    <w:p w14:paraId="2A32E90C" w14:textId="77777777" w:rsidR="00D75702" w:rsidRPr="00812FAD" w:rsidRDefault="00D75702" w:rsidP="0014356B">
      <w:pPr>
        <w:pStyle w:val="Lijstalinea"/>
        <w:ind w:left="708"/>
        <w:jc w:val="both"/>
        <w:rPr>
          <w:lang w:val="nl-BE"/>
        </w:rPr>
      </w:pPr>
    </w:p>
    <w:p w14:paraId="27AC30F5" w14:textId="1C28CEF3" w:rsidR="00FE4E8A" w:rsidRPr="00FE4E8A" w:rsidRDefault="00FE4E8A" w:rsidP="0014356B">
      <w:pPr>
        <w:pStyle w:val="Lijstalinea"/>
        <w:ind w:left="708"/>
        <w:jc w:val="both"/>
        <w:rPr>
          <w:b/>
          <w:lang w:val="nl-BE"/>
        </w:rPr>
      </w:pPr>
      <w:r w:rsidRPr="00FE4E8A">
        <w:rPr>
          <w:lang w:val="nl-BE"/>
        </w:rPr>
        <w:t xml:space="preserve">Zowel voor de opvorderingen van goederen als van personen, kan de schadevergoeding in onderlinge overeenstemming tussen de persoon die het voorwerp uitmaakt van de opvordering en de overheid </w:t>
      </w:r>
      <w:r w:rsidR="003F7D3E">
        <w:rPr>
          <w:lang w:val="nl-BE"/>
        </w:rPr>
        <w:t xml:space="preserve">die opvordert </w:t>
      </w:r>
      <w:r w:rsidRPr="00FE4E8A">
        <w:rPr>
          <w:lang w:val="nl-BE"/>
        </w:rPr>
        <w:t xml:space="preserve">geëvalueerd worden. Dit akkoord </w:t>
      </w:r>
      <w:r w:rsidR="00552E08">
        <w:rPr>
          <w:lang w:val="nl-BE"/>
        </w:rPr>
        <w:t xml:space="preserve">wordt </w:t>
      </w:r>
      <w:r>
        <w:rPr>
          <w:lang w:val="nl-BE"/>
        </w:rPr>
        <w:t xml:space="preserve">vermeld in </w:t>
      </w:r>
      <w:r w:rsidRPr="00FE4E8A">
        <w:rPr>
          <w:b/>
          <w:lang w:val="nl-BE"/>
        </w:rPr>
        <w:t>de ontvangstbevestiging van het opvorderingsbevel</w:t>
      </w:r>
      <w:r w:rsidR="005B6AC7">
        <w:rPr>
          <w:b/>
          <w:lang w:val="nl-BE"/>
        </w:rPr>
        <w:t xml:space="preserve"> </w:t>
      </w:r>
      <w:r w:rsidR="005B6AC7">
        <w:rPr>
          <w:lang w:val="nl-BE"/>
        </w:rPr>
        <w:t xml:space="preserve">die zal worden ondertekend door de afgevaardigde </w:t>
      </w:r>
      <w:r w:rsidR="003F7D3E">
        <w:rPr>
          <w:lang w:val="nl-BE"/>
        </w:rPr>
        <w:t xml:space="preserve">van de </w:t>
      </w:r>
      <w:r w:rsidR="00F55955">
        <w:rPr>
          <w:lang w:val="nl-BE"/>
        </w:rPr>
        <w:t>verzoekende</w:t>
      </w:r>
      <w:r w:rsidR="003F7D3E">
        <w:rPr>
          <w:lang w:val="nl-BE"/>
        </w:rPr>
        <w:t xml:space="preserve"> overheid  </w:t>
      </w:r>
      <w:r w:rsidR="005B6AC7">
        <w:rPr>
          <w:lang w:val="nl-BE"/>
        </w:rPr>
        <w:t xml:space="preserve">die ter plekke aanwezig is. </w:t>
      </w:r>
    </w:p>
    <w:p w14:paraId="5DE4E9BE" w14:textId="72C39506" w:rsidR="00FE4E8A" w:rsidRPr="00FE4E8A" w:rsidRDefault="00FE4E8A" w:rsidP="0014356B">
      <w:pPr>
        <w:pStyle w:val="Lijstalinea"/>
        <w:ind w:left="708"/>
        <w:jc w:val="both"/>
        <w:rPr>
          <w:lang w:val="nl-BE"/>
        </w:rPr>
      </w:pPr>
      <w:r w:rsidRPr="00FE4E8A">
        <w:rPr>
          <w:lang w:val="nl-BE"/>
        </w:rPr>
        <w:lastRenderedPageBreak/>
        <w:t xml:space="preserve">Bij gebrek aan akkoord, stelt de verzoekende overheid zelf het bedrag van de schadevergoeding vast. Zij betekent haar beslissing aan de betrokken persoon binnen de vijftien dagen volgend op het einde van de opvordering. </w:t>
      </w:r>
      <w:r w:rsidR="003F7D3E">
        <w:rPr>
          <w:lang w:val="nl-BE"/>
        </w:rPr>
        <w:t xml:space="preserve">Een beroepsprocedure bestaat. </w:t>
      </w:r>
    </w:p>
    <w:p w14:paraId="49F7DC80" w14:textId="44D2F9CF" w:rsidR="00C07E7B" w:rsidRDefault="00C07E7B" w:rsidP="0014356B">
      <w:pPr>
        <w:pStyle w:val="Lijstalinea"/>
        <w:ind w:left="0"/>
        <w:jc w:val="both"/>
        <w:rPr>
          <w:lang w:val="nl-BE"/>
        </w:rPr>
      </w:pPr>
    </w:p>
    <w:p w14:paraId="6D2047BA" w14:textId="0A6CA169" w:rsidR="00803A3B" w:rsidRPr="008D5292" w:rsidRDefault="00803A3B" w:rsidP="0014356B">
      <w:pPr>
        <w:jc w:val="both"/>
        <w:rPr>
          <w:lang w:val="nl-BE"/>
        </w:rPr>
      </w:pPr>
    </w:p>
    <w:p w14:paraId="768EA8B7" w14:textId="6BE265FD" w:rsidR="00FE4E8A" w:rsidRPr="008D5292" w:rsidRDefault="00FE4E8A" w:rsidP="0014356B">
      <w:pPr>
        <w:jc w:val="both"/>
        <w:rPr>
          <w:lang w:val="nl-BE"/>
        </w:rPr>
      </w:pPr>
    </w:p>
    <w:p w14:paraId="304F6311" w14:textId="77777777" w:rsidR="00FE4E8A" w:rsidRPr="008D5292" w:rsidRDefault="00FE4E8A" w:rsidP="0014356B">
      <w:pPr>
        <w:jc w:val="both"/>
        <w:rPr>
          <w:lang w:val="nl-BE"/>
        </w:rPr>
      </w:pPr>
    </w:p>
    <w:p w14:paraId="20F2EB97" w14:textId="77777777" w:rsidR="00FE4E8A" w:rsidRPr="008D5292" w:rsidRDefault="00FE4E8A" w:rsidP="0014356B">
      <w:pPr>
        <w:jc w:val="both"/>
        <w:rPr>
          <w:lang w:val="nl-BE"/>
        </w:rPr>
      </w:pPr>
    </w:p>
    <w:p w14:paraId="676F883A" w14:textId="2244D5CD" w:rsidR="00DF217B" w:rsidRPr="008D5292" w:rsidRDefault="00FE4E8A" w:rsidP="0014356B">
      <w:pPr>
        <w:tabs>
          <w:tab w:val="left" w:pos="3795"/>
        </w:tabs>
        <w:jc w:val="both"/>
        <w:rPr>
          <w:lang w:val="nl-BE"/>
        </w:rPr>
      </w:pPr>
      <w:r w:rsidRPr="008D5292">
        <w:rPr>
          <w:lang w:val="nl-BE"/>
        </w:rPr>
        <w:tab/>
      </w:r>
    </w:p>
    <w:sectPr w:rsidR="00DF217B" w:rsidRPr="008D529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18EF" w14:textId="77777777" w:rsidR="006B055E" w:rsidRDefault="006B055E" w:rsidP="00DF217B">
      <w:pPr>
        <w:spacing w:after="0" w:line="240" w:lineRule="auto"/>
      </w:pPr>
      <w:r>
        <w:separator/>
      </w:r>
    </w:p>
  </w:endnote>
  <w:endnote w:type="continuationSeparator" w:id="0">
    <w:p w14:paraId="112D850B" w14:textId="77777777" w:rsidR="006B055E" w:rsidRDefault="006B055E" w:rsidP="00DF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18" w:type="dxa"/>
      <w:tblLayout w:type="fixed"/>
      <w:tblCellMar>
        <w:left w:w="0" w:type="dxa"/>
        <w:right w:w="0" w:type="dxa"/>
      </w:tblCellMar>
      <w:tblLook w:val="0000" w:firstRow="0" w:lastRow="0" w:firstColumn="0" w:lastColumn="0" w:noHBand="0" w:noVBand="0"/>
    </w:tblPr>
    <w:tblGrid>
      <w:gridCol w:w="4860"/>
      <w:gridCol w:w="567"/>
      <w:gridCol w:w="567"/>
      <w:gridCol w:w="1361"/>
      <w:gridCol w:w="567"/>
      <w:gridCol w:w="1196"/>
    </w:tblGrid>
    <w:tr w:rsidR="0046235F" w:rsidRPr="00DF217B" w14:paraId="7B53D18E" w14:textId="77777777" w:rsidTr="0046235F">
      <w:trPr>
        <w:trHeight w:hRule="exact" w:val="624"/>
      </w:trPr>
      <w:tc>
        <w:tcPr>
          <w:tcW w:w="4859" w:type="dxa"/>
          <w:vAlign w:val="bottom"/>
        </w:tcPr>
        <w:p w14:paraId="509B2315" w14:textId="77777777" w:rsidR="0046235F" w:rsidRPr="00DF217B" w:rsidRDefault="0046235F" w:rsidP="00DF217B">
          <w:pPr>
            <w:tabs>
              <w:tab w:val="center" w:pos="4153"/>
              <w:tab w:val="right" w:pos="8306"/>
            </w:tabs>
            <w:spacing w:after="0" w:line="200" w:lineRule="atLeast"/>
            <w:rPr>
              <w:rFonts w:ascii="Arial" w:eastAsia="Times New Roman" w:hAnsi="Arial" w:cs="Times New Roman"/>
              <w:sz w:val="17"/>
              <w:szCs w:val="17"/>
              <w:lang w:val="en-GB" w:eastAsia="nl-NL"/>
            </w:rPr>
          </w:pPr>
          <w:r w:rsidRPr="00DF217B">
            <w:rPr>
              <w:rFonts w:ascii="Arial" w:eastAsia="Times New Roman" w:hAnsi="Arial" w:cs="Times New Roman"/>
              <w:noProof/>
              <w:sz w:val="17"/>
              <w:szCs w:val="17"/>
              <w:lang w:val="nl-BE" w:eastAsia="nl-BE"/>
            </w:rPr>
            <w:drawing>
              <wp:inline distT="0" distB="0" distL="0" distR="0" wp14:anchorId="34008AD9" wp14:editId="13DB7822">
                <wp:extent cx="1877060" cy="394970"/>
                <wp:effectExtent l="0" t="0" r="8890" b="5080"/>
                <wp:docPr id="3" name="Image 3" descr="C:\Users\cavandenberghe\Documents\Sécurité civ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vandenberghe\Documents\Sécurité civi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394970"/>
                        </a:xfrm>
                        <a:prstGeom prst="rect">
                          <a:avLst/>
                        </a:prstGeom>
                        <a:noFill/>
                        <a:ln>
                          <a:noFill/>
                        </a:ln>
                      </pic:spPr>
                    </pic:pic>
                  </a:graphicData>
                </a:graphic>
              </wp:inline>
            </w:drawing>
          </w:r>
        </w:p>
      </w:tc>
      <w:tc>
        <w:tcPr>
          <w:tcW w:w="567" w:type="dxa"/>
          <w:vAlign w:val="bottom"/>
        </w:tcPr>
        <w:p w14:paraId="6A9DB917" w14:textId="77777777" w:rsidR="0046235F" w:rsidRPr="00DF217B" w:rsidRDefault="0046235F" w:rsidP="00DF217B">
          <w:pPr>
            <w:tabs>
              <w:tab w:val="center" w:pos="4153"/>
              <w:tab w:val="right" w:pos="8306"/>
            </w:tabs>
            <w:spacing w:after="0" w:line="200" w:lineRule="atLeast"/>
            <w:rPr>
              <w:rFonts w:ascii="Arial" w:eastAsia="Times New Roman" w:hAnsi="Arial" w:cs="Times New Roman"/>
              <w:sz w:val="17"/>
              <w:szCs w:val="17"/>
              <w:lang w:val="nl-NL" w:eastAsia="nl-NL"/>
            </w:rPr>
          </w:pPr>
        </w:p>
      </w:tc>
      <w:tc>
        <w:tcPr>
          <w:tcW w:w="567" w:type="dxa"/>
          <w:vAlign w:val="bottom"/>
        </w:tcPr>
        <w:p w14:paraId="3FD286BD" w14:textId="77777777" w:rsidR="0046235F" w:rsidRPr="00DF217B" w:rsidRDefault="0046235F" w:rsidP="00DF217B">
          <w:pPr>
            <w:tabs>
              <w:tab w:val="center" w:pos="4153"/>
              <w:tab w:val="right" w:pos="8306"/>
            </w:tabs>
            <w:spacing w:after="0" w:line="200" w:lineRule="atLeast"/>
            <w:rPr>
              <w:rFonts w:ascii="Arial" w:eastAsia="Times New Roman" w:hAnsi="Arial" w:cs="Times New Roman"/>
              <w:sz w:val="17"/>
              <w:szCs w:val="17"/>
              <w:lang w:val="nl-NL" w:eastAsia="nl-NL"/>
            </w:rPr>
          </w:pPr>
        </w:p>
      </w:tc>
      <w:tc>
        <w:tcPr>
          <w:tcW w:w="1361" w:type="dxa"/>
          <w:vAlign w:val="bottom"/>
        </w:tcPr>
        <w:p w14:paraId="0A87E345" w14:textId="734BCF73" w:rsidR="0046235F" w:rsidRPr="00DF217B" w:rsidRDefault="00FE4E8A" w:rsidP="00DF217B">
          <w:pPr>
            <w:tabs>
              <w:tab w:val="center" w:pos="4153"/>
              <w:tab w:val="right" w:pos="8306"/>
            </w:tabs>
            <w:spacing w:after="0" w:line="200" w:lineRule="atLeast"/>
            <w:rPr>
              <w:rFonts w:ascii="Arial" w:eastAsia="Times New Roman" w:hAnsi="Arial" w:cs="Times New Roman"/>
              <w:sz w:val="17"/>
              <w:szCs w:val="17"/>
              <w:lang w:val="nl-NL" w:eastAsia="nl-NL"/>
            </w:rPr>
          </w:pPr>
          <w:r>
            <w:rPr>
              <w:rFonts w:ascii="Arial" w:eastAsia="Times New Roman" w:hAnsi="Arial" w:cs="Times New Roman"/>
              <w:sz w:val="17"/>
              <w:szCs w:val="17"/>
              <w:lang w:val="nl-NL" w:eastAsia="nl-NL"/>
            </w:rPr>
            <w:t>Leuvenseweg</w:t>
          </w:r>
          <w:r w:rsidR="0046235F" w:rsidRPr="00DF217B">
            <w:rPr>
              <w:rFonts w:ascii="Arial" w:eastAsia="Times New Roman" w:hAnsi="Arial" w:cs="Times New Roman"/>
              <w:sz w:val="17"/>
              <w:szCs w:val="17"/>
              <w:lang w:val="nl-NL" w:eastAsia="nl-NL"/>
            </w:rPr>
            <w:t xml:space="preserve"> 1</w:t>
          </w:r>
        </w:p>
        <w:p w14:paraId="1A26830B" w14:textId="63D48002" w:rsidR="0046235F" w:rsidRPr="00DF217B" w:rsidRDefault="0046235F" w:rsidP="00FE4E8A">
          <w:pPr>
            <w:tabs>
              <w:tab w:val="center" w:pos="4153"/>
              <w:tab w:val="right" w:pos="8306"/>
            </w:tabs>
            <w:spacing w:after="0" w:line="200" w:lineRule="atLeast"/>
            <w:rPr>
              <w:rFonts w:ascii="Arial" w:eastAsia="Times New Roman" w:hAnsi="Arial" w:cs="Times New Roman"/>
              <w:sz w:val="17"/>
              <w:szCs w:val="17"/>
              <w:lang w:val="fr-FR" w:eastAsia="nl-NL"/>
            </w:rPr>
          </w:pPr>
          <w:r w:rsidRPr="00DF217B">
            <w:rPr>
              <w:rFonts w:ascii="Arial" w:eastAsia="Times New Roman" w:hAnsi="Arial" w:cs="Times New Roman"/>
              <w:sz w:val="17"/>
              <w:szCs w:val="17"/>
              <w:lang w:val="nl-NL" w:eastAsia="nl-NL"/>
            </w:rPr>
            <w:t>1000 Bru</w:t>
          </w:r>
          <w:r w:rsidR="00FE4E8A">
            <w:rPr>
              <w:rFonts w:ascii="Arial" w:eastAsia="Times New Roman" w:hAnsi="Arial" w:cs="Times New Roman"/>
              <w:sz w:val="17"/>
              <w:szCs w:val="17"/>
              <w:lang w:val="nl-NL" w:eastAsia="nl-NL"/>
            </w:rPr>
            <w:t>ss</w:t>
          </w:r>
          <w:r w:rsidRPr="00DF217B">
            <w:rPr>
              <w:rFonts w:ascii="Arial" w:eastAsia="Times New Roman" w:hAnsi="Arial" w:cs="Times New Roman"/>
              <w:sz w:val="17"/>
              <w:szCs w:val="17"/>
              <w:lang w:val="nl-NL" w:eastAsia="nl-NL"/>
            </w:rPr>
            <w:t>e</w:t>
          </w:r>
          <w:r w:rsidR="00FE4E8A">
            <w:rPr>
              <w:rFonts w:ascii="Arial" w:eastAsia="Times New Roman" w:hAnsi="Arial" w:cs="Times New Roman"/>
              <w:sz w:val="17"/>
              <w:szCs w:val="17"/>
              <w:lang w:val="nl-NL" w:eastAsia="nl-NL"/>
            </w:rPr>
            <w:t>l</w:t>
          </w:r>
        </w:p>
      </w:tc>
      <w:tc>
        <w:tcPr>
          <w:tcW w:w="567" w:type="dxa"/>
          <w:vAlign w:val="bottom"/>
        </w:tcPr>
        <w:p w14:paraId="527E0095" w14:textId="77777777" w:rsidR="0046235F" w:rsidRPr="00DF217B" w:rsidRDefault="0046235F" w:rsidP="00DF217B">
          <w:pPr>
            <w:tabs>
              <w:tab w:val="center" w:pos="4153"/>
              <w:tab w:val="right" w:pos="8306"/>
            </w:tabs>
            <w:spacing w:after="0" w:line="200" w:lineRule="atLeast"/>
            <w:rPr>
              <w:rFonts w:ascii="Arial" w:eastAsia="Times New Roman" w:hAnsi="Arial" w:cs="Times New Roman"/>
              <w:sz w:val="17"/>
              <w:szCs w:val="17"/>
              <w:lang w:val="fr-FR" w:eastAsia="nl-NL"/>
            </w:rPr>
          </w:pPr>
        </w:p>
      </w:tc>
      <w:tc>
        <w:tcPr>
          <w:tcW w:w="1196" w:type="dxa"/>
          <w:vAlign w:val="bottom"/>
        </w:tcPr>
        <w:p w14:paraId="46E927D3" w14:textId="77777777" w:rsidR="0046235F" w:rsidRPr="00DF217B" w:rsidRDefault="0046235F" w:rsidP="00DF217B">
          <w:pPr>
            <w:tabs>
              <w:tab w:val="center" w:pos="4153"/>
              <w:tab w:val="right" w:pos="8306"/>
            </w:tabs>
            <w:spacing w:after="0" w:line="200" w:lineRule="atLeast"/>
            <w:rPr>
              <w:rFonts w:ascii="Arial" w:eastAsia="Times New Roman" w:hAnsi="Arial" w:cs="Times New Roman"/>
              <w:sz w:val="17"/>
              <w:szCs w:val="17"/>
              <w:lang w:val="fr-FR" w:eastAsia="nl-NL"/>
            </w:rPr>
          </w:pPr>
          <w:r w:rsidRPr="00DF217B">
            <w:rPr>
              <w:rFonts w:ascii="Arial" w:eastAsia="Times New Roman" w:hAnsi="Arial" w:cs="Times New Roman"/>
              <w:sz w:val="17"/>
              <w:szCs w:val="17"/>
              <w:lang w:val="fr-FR" w:eastAsia="nl-NL"/>
            </w:rPr>
            <w:t>T 02 500 21 11</w:t>
          </w:r>
        </w:p>
        <w:p w14:paraId="79A99F5E" w14:textId="77777777" w:rsidR="0046235F" w:rsidRPr="00DF217B" w:rsidRDefault="0046235F" w:rsidP="00DF217B">
          <w:pPr>
            <w:tabs>
              <w:tab w:val="center" w:pos="4153"/>
              <w:tab w:val="right" w:pos="8306"/>
            </w:tabs>
            <w:spacing w:after="0" w:line="200" w:lineRule="atLeast"/>
            <w:rPr>
              <w:rFonts w:ascii="Arial" w:eastAsia="Times New Roman" w:hAnsi="Arial" w:cs="Times New Roman"/>
              <w:sz w:val="17"/>
              <w:szCs w:val="17"/>
              <w:lang w:val="fr-FR" w:eastAsia="nl-NL"/>
            </w:rPr>
          </w:pPr>
          <w:r w:rsidRPr="00DF217B">
            <w:rPr>
              <w:rFonts w:ascii="Arial" w:eastAsia="Times New Roman" w:hAnsi="Arial" w:cs="Times New Roman"/>
              <w:sz w:val="17"/>
              <w:szCs w:val="17"/>
              <w:lang w:val="fr-FR" w:eastAsia="nl-NL"/>
            </w:rPr>
            <w:t>F 02 500 23 65</w:t>
          </w:r>
        </w:p>
      </w:tc>
    </w:tr>
  </w:tbl>
  <w:p w14:paraId="599B30E4" w14:textId="77777777" w:rsidR="0046235F" w:rsidRPr="00DF217B" w:rsidRDefault="0046235F" w:rsidP="00DF217B">
    <w:pPr>
      <w:tabs>
        <w:tab w:val="center" w:pos="4153"/>
        <w:tab w:val="right" w:pos="8306"/>
      </w:tabs>
      <w:spacing w:after="0" w:line="180" w:lineRule="atLeast"/>
      <w:rPr>
        <w:rFonts w:ascii="Arial" w:eastAsia="Times New Roman" w:hAnsi="Arial" w:cs="Times New Roman"/>
        <w:sz w:val="14"/>
        <w:szCs w:val="24"/>
        <w:lang w:val="fr-FR" w:eastAsia="nl-NL"/>
      </w:rPr>
    </w:pPr>
  </w:p>
  <w:p w14:paraId="31AF81DB" w14:textId="77777777" w:rsidR="0046235F" w:rsidRDefault="004623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E94C" w14:textId="77777777" w:rsidR="006B055E" w:rsidRDefault="006B055E" w:rsidP="00DF217B">
      <w:pPr>
        <w:spacing w:after="0" w:line="240" w:lineRule="auto"/>
      </w:pPr>
      <w:r>
        <w:separator/>
      </w:r>
    </w:p>
  </w:footnote>
  <w:footnote w:type="continuationSeparator" w:id="0">
    <w:p w14:paraId="3DD45610" w14:textId="77777777" w:rsidR="006B055E" w:rsidRDefault="006B055E" w:rsidP="00DF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318" w:type="dxa"/>
      <w:tblLook w:val="04A0" w:firstRow="1" w:lastRow="0" w:firstColumn="1" w:lastColumn="0" w:noHBand="0" w:noVBand="1"/>
    </w:tblPr>
    <w:tblGrid>
      <w:gridCol w:w="4559"/>
      <w:gridCol w:w="4831"/>
    </w:tblGrid>
    <w:tr w:rsidR="0046235F" w:rsidRPr="00DF217B" w14:paraId="5BE62EB6" w14:textId="77777777" w:rsidTr="0046235F">
      <w:tc>
        <w:tcPr>
          <w:tcW w:w="4605" w:type="dxa"/>
          <w:tcBorders>
            <w:top w:val="nil"/>
            <w:left w:val="nil"/>
            <w:bottom w:val="nil"/>
            <w:right w:val="nil"/>
          </w:tcBorders>
        </w:tcPr>
        <w:p w14:paraId="0906D5B8" w14:textId="77777777" w:rsidR="0046235F" w:rsidRPr="00DF217B" w:rsidRDefault="0046235F" w:rsidP="00DF217B">
          <w:pPr>
            <w:tabs>
              <w:tab w:val="center" w:pos="4153"/>
              <w:tab w:val="right" w:pos="8306"/>
            </w:tabs>
            <w:spacing w:line="180" w:lineRule="atLeast"/>
            <w:rPr>
              <w:rFonts w:ascii="Arial" w:hAnsi="Arial"/>
              <w:b/>
              <w:sz w:val="18"/>
              <w:szCs w:val="24"/>
              <w:lang w:val="nl-BE" w:eastAsia="nl-NL"/>
            </w:rPr>
          </w:pPr>
          <w:r w:rsidRPr="00DF217B">
            <w:rPr>
              <w:rFonts w:ascii="Arial" w:hAnsi="Arial"/>
              <w:b/>
              <w:noProof/>
              <w:sz w:val="18"/>
              <w:szCs w:val="24"/>
              <w:lang w:val="nl-BE" w:eastAsia="nl-BE"/>
            </w:rPr>
            <w:drawing>
              <wp:inline distT="0" distB="0" distL="0" distR="0" wp14:anchorId="53283EA0" wp14:editId="49F76C3F">
                <wp:extent cx="1212215" cy="1052830"/>
                <wp:effectExtent l="0" t="0" r="6985" b="0"/>
                <wp:docPr id="1" name="Image 1" descr="C:\Users\cavandenberghe\Documents\IB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denberghe\Documents\IB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2215" cy="1052830"/>
                        </a:xfrm>
                        <a:prstGeom prst="rect">
                          <a:avLst/>
                        </a:prstGeom>
                        <a:noFill/>
                        <a:ln>
                          <a:noFill/>
                        </a:ln>
                      </pic:spPr>
                    </pic:pic>
                  </a:graphicData>
                </a:graphic>
              </wp:inline>
            </w:drawing>
          </w:r>
        </w:p>
      </w:tc>
      <w:tc>
        <w:tcPr>
          <w:tcW w:w="4893" w:type="dxa"/>
          <w:tcBorders>
            <w:top w:val="nil"/>
            <w:left w:val="nil"/>
            <w:bottom w:val="nil"/>
            <w:right w:val="nil"/>
          </w:tcBorders>
        </w:tcPr>
        <w:p w14:paraId="6641976F" w14:textId="77777777" w:rsidR="0046235F" w:rsidRPr="00DF217B" w:rsidRDefault="0046235F" w:rsidP="00DF217B">
          <w:pPr>
            <w:tabs>
              <w:tab w:val="center" w:pos="4153"/>
              <w:tab w:val="right" w:pos="8306"/>
            </w:tabs>
            <w:spacing w:line="200" w:lineRule="exact"/>
            <w:jc w:val="right"/>
            <w:rPr>
              <w:rFonts w:ascii="Arial" w:hAnsi="Arial"/>
              <w:b/>
              <w:sz w:val="18"/>
              <w:szCs w:val="24"/>
              <w:lang w:val="fr-FR" w:eastAsia="nl-NL"/>
            </w:rPr>
          </w:pPr>
        </w:p>
        <w:p w14:paraId="7D5B61E0" w14:textId="77777777" w:rsidR="0046235F" w:rsidRPr="00DF217B" w:rsidRDefault="0046235F" w:rsidP="00DF217B">
          <w:pPr>
            <w:tabs>
              <w:tab w:val="center" w:pos="4153"/>
              <w:tab w:val="right" w:pos="8306"/>
            </w:tabs>
            <w:spacing w:line="200" w:lineRule="exact"/>
            <w:jc w:val="right"/>
            <w:rPr>
              <w:rFonts w:ascii="Arial" w:hAnsi="Arial"/>
              <w:b/>
              <w:sz w:val="18"/>
              <w:szCs w:val="24"/>
              <w:lang w:val="fr-FR" w:eastAsia="nl-NL"/>
            </w:rPr>
          </w:pPr>
        </w:p>
        <w:p w14:paraId="35C6C570" w14:textId="07BB4910" w:rsidR="0046235F" w:rsidRPr="00726080" w:rsidRDefault="00726080" w:rsidP="00DF217B">
          <w:pPr>
            <w:tabs>
              <w:tab w:val="center" w:pos="4153"/>
              <w:tab w:val="right" w:pos="8306"/>
            </w:tabs>
            <w:spacing w:line="200" w:lineRule="exact"/>
            <w:jc w:val="right"/>
            <w:rPr>
              <w:rFonts w:ascii="Arial" w:hAnsi="Arial"/>
              <w:b/>
              <w:sz w:val="18"/>
              <w:szCs w:val="24"/>
              <w:lang w:val="nl-BE" w:eastAsia="nl-NL"/>
            </w:rPr>
          </w:pPr>
          <w:r w:rsidRPr="00726080">
            <w:rPr>
              <w:rFonts w:ascii="Arial" w:hAnsi="Arial"/>
              <w:b/>
              <w:sz w:val="18"/>
              <w:szCs w:val="24"/>
              <w:lang w:val="nl-BE" w:eastAsia="nl-NL"/>
            </w:rPr>
            <w:t>Federale Overheidsdienst Binnenlandse Zaken</w:t>
          </w:r>
        </w:p>
        <w:p w14:paraId="2591254B" w14:textId="4E1CB515" w:rsidR="0046235F" w:rsidRPr="00726080" w:rsidRDefault="00726080" w:rsidP="00DF217B">
          <w:pPr>
            <w:tabs>
              <w:tab w:val="center" w:pos="4153"/>
              <w:tab w:val="right" w:pos="8306"/>
            </w:tabs>
            <w:spacing w:line="180" w:lineRule="atLeast"/>
            <w:jc w:val="right"/>
            <w:rPr>
              <w:rFonts w:ascii="Arial" w:hAnsi="Arial"/>
              <w:b/>
              <w:sz w:val="18"/>
              <w:szCs w:val="24"/>
              <w:lang w:val="nl-BE" w:eastAsia="nl-NL"/>
            </w:rPr>
          </w:pPr>
          <w:r w:rsidRPr="00726080">
            <w:rPr>
              <w:rFonts w:ascii="Arial" w:hAnsi="Arial"/>
              <w:b/>
              <w:sz w:val="18"/>
              <w:szCs w:val="24"/>
              <w:lang w:val="nl-BE" w:eastAsia="nl-NL"/>
            </w:rPr>
            <w:t>Algemene Directie Civiele Veiligheid</w:t>
          </w:r>
        </w:p>
        <w:p w14:paraId="4C506C49" w14:textId="5AA503E8" w:rsidR="0046235F" w:rsidRPr="00DF217B" w:rsidRDefault="00726080" w:rsidP="00DF217B">
          <w:pPr>
            <w:tabs>
              <w:tab w:val="center" w:pos="4153"/>
              <w:tab w:val="right" w:pos="8306"/>
            </w:tabs>
            <w:spacing w:line="180" w:lineRule="atLeast"/>
            <w:jc w:val="right"/>
            <w:rPr>
              <w:rFonts w:ascii="Arial" w:hAnsi="Arial"/>
              <w:bCs/>
              <w:i/>
              <w:iCs/>
              <w:sz w:val="18"/>
              <w:szCs w:val="24"/>
              <w:lang w:eastAsia="nl-NL"/>
            </w:rPr>
          </w:pPr>
          <w:proofErr w:type="spellStart"/>
          <w:r>
            <w:rPr>
              <w:rFonts w:ascii="Arial" w:hAnsi="Arial"/>
              <w:bCs/>
              <w:i/>
              <w:iCs/>
              <w:sz w:val="18"/>
              <w:szCs w:val="24"/>
              <w:lang w:eastAsia="nl-NL"/>
            </w:rPr>
            <w:t>Juridische</w:t>
          </w:r>
          <w:proofErr w:type="spellEnd"/>
          <w:r>
            <w:rPr>
              <w:rFonts w:ascii="Arial" w:hAnsi="Arial"/>
              <w:bCs/>
              <w:i/>
              <w:iCs/>
              <w:sz w:val="18"/>
              <w:szCs w:val="24"/>
              <w:lang w:eastAsia="nl-NL"/>
            </w:rPr>
            <w:t xml:space="preserve"> </w:t>
          </w:r>
          <w:proofErr w:type="spellStart"/>
          <w:r>
            <w:rPr>
              <w:rFonts w:ascii="Arial" w:hAnsi="Arial"/>
              <w:bCs/>
              <w:i/>
              <w:iCs/>
              <w:sz w:val="18"/>
              <w:szCs w:val="24"/>
              <w:lang w:eastAsia="nl-NL"/>
            </w:rPr>
            <w:t>dienst</w:t>
          </w:r>
          <w:proofErr w:type="spellEnd"/>
        </w:p>
        <w:p w14:paraId="445715A5" w14:textId="77777777" w:rsidR="0046235F" w:rsidRPr="00DF217B" w:rsidRDefault="0046235F" w:rsidP="00DF217B">
          <w:pPr>
            <w:tabs>
              <w:tab w:val="center" w:pos="4153"/>
              <w:tab w:val="right" w:pos="8306"/>
            </w:tabs>
            <w:spacing w:line="180" w:lineRule="atLeast"/>
            <w:jc w:val="right"/>
            <w:rPr>
              <w:rFonts w:ascii="Arial" w:hAnsi="Arial"/>
              <w:b/>
              <w:sz w:val="18"/>
              <w:szCs w:val="24"/>
              <w:lang w:eastAsia="nl-NL"/>
            </w:rPr>
          </w:pPr>
        </w:p>
      </w:tc>
    </w:tr>
  </w:tbl>
  <w:p w14:paraId="289AD8CE" w14:textId="77777777" w:rsidR="0046235F" w:rsidRDefault="004623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6FC"/>
    <w:multiLevelType w:val="hybridMultilevel"/>
    <w:tmpl w:val="9F1A4D3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8E3099"/>
    <w:multiLevelType w:val="hybridMultilevel"/>
    <w:tmpl w:val="4CD28C8C"/>
    <w:lvl w:ilvl="0" w:tplc="0409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2" w15:restartNumberingAfterBreak="0">
    <w:nsid w:val="1ACC355A"/>
    <w:multiLevelType w:val="hybridMultilevel"/>
    <w:tmpl w:val="049AF6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B383E7F"/>
    <w:multiLevelType w:val="hybridMultilevel"/>
    <w:tmpl w:val="92205BAC"/>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 w15:restartNumberingAfterBreak="0">
    <w:nsid w:val="32954E2D"/>
    <w:multiLevelType w:val="hybridMultilevel"/>
    <w:tmpl w:val="C4E886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4CF2A62"/>
    <w:multiLevelType w:val="hybridMultilevel"/>
    <w:tmpl w:val="5720D0F4"/>
    <w:lvl w:ilvl="0" w:tplc="04090001">
      <w:start w:val="1"/>
      <w:numFmt w:val="bullet"/>
      <w:lvlText w:val=""/>
      <w:lvlJc w:val="left"/>
      <w:pPr>
        <w:ind w:left="2280" w:hanging="360"/>
      </w:pPr>
      <w:rPr>
        <w:rFonts w:ascii="Symbol" w:hAnsi="Symbol" w:hint="default"/>
      </w:rPr>
    </w:lvl>
    <w:lvl w:ilvl="1" w:tplc="08130003" w:tentative="1">
      <w:start w:val="1"/>
      <w:numFmt w:val="bullet"/>
      <w:lvlText w:val="o"/>
      <w:lvlJc w:val="left"/>
      <w:pPr>
        <w:ind w:left="3000" w:hanging="360"/>
      </w:pPr>
      <w:rPr>
        <w:rFonts w:ascii="Courier New" w:hAnsi="Courier New" w:cs="Courier New" w:hint="default"/>
      </w:rPr>
    </w:lvl>
    <w:lvl w:ilvl="2" w:tplc="08130005" w:tentative="1">
      <w:start w:val="1"/>
      <w:numFmt w:val="bullet"/>
      <w:lvlText w:val=""/>
      <w:lvlJc w:val="left"/>
      <w:pPr>
        <w:ind w:left="3720" w:hanging="360"/>
      </w:pPr>
      <w:rPr>
        <w:rFonts w:ascii="Wingdings" w:hAnsi="Wingdings" w:hint="default"/>
      </w:rPr>
    </w:lvl>
    <w:lvl w:ilvl="3" w:tplc="08130001" w:tentative="1">
      <w:start w:val="1"/>
      <w:numFmt w:val="bullet"/>
      <w:lvlText w:val=""/>
      <w:lvlJc w:val="left"/>
      <w:pPr>
        <w:ind w:left="4440" w:hanging="360"/>
      </w:pPr>
      <w:rPr>
        <w:rFonts w:ascii="Symbol" w:hAnsi="Symbol" w:hint="default"/>
      </w:rPr>
    </w:lvl>
    <w:lvl w:ilvl="4" w:tplc="08130003" w:tentative="1">
      <w:start w:val="1"/>
      <w:numFmt w:val="bullet"/>
      <w:lvlText w:val="o"/>
      <w:lvlJc w:val="left"/>
      <w:pPr>
        <w:ind w:left="5160" w:hanging="360"/>
      </w:pPr>
      <w:rPr>
        <w:rFonts w:ascii="Courier New" w:hAnsi="Courier New" w:cs="Courier New" w:hint="default"/>
      </w:rPr>
    </w:lvl>
    <w:lvl w:ilvl="5" w:tplc="08130005" w:tentative="1">
      <w:start w:val="1"/>
      <w:numFmt w:val="bullet"/>
      <w:lvlText w:val=""/>
      <w:lvlJc w:val="left"/>
      <w:pPr>
        <w:ind w:left="5880" w:hanging="360"/>
      </w:pPr>
      <w:rPr>
        <w:rFonts w:ascii="Wingdings" w:hAnsi="Wingdings" w:hint="default"/>
      </w:rPr>
    </w:lvl>
    <w:lvl w:ilvl="6" w:tplc="08130001" w:tentative="1">
      <w:start w:val="1"/>
      <w:numFmt w:val="bullet"/>
      <w:lvlText w:val=""/>
      <w:lvlJc w:val="left"/>
      <w:pPr>
        <w:ind w:left="6600" w:hanging="360"/>
      </w:pPr>
      <w:rPr>
        <w:rFonts w:ascii="Symbol" w:hAnsi="Symbol" w:hint="default"/>
      </w:rPr>
    </w:lvl>
    <w:lvl w:ilvl="7" w:tplc="08130003" w:tentative="1">
      <w:start w:val="1"/>
      <w:numFmt w:val="bullet"/>
      <w:lvlText w:val="o"/>
      <w:lvlJc w:val="left"/>
      <w:pPr>
        <w:ind w:left="7320" w:hanging="360"/>
      </w:pPr>
      <w:rPr>
        <w:rFonts w:ascii="Courier New" w:hAnsi="Courier New" w:cs="Courier New" w:hint="default"/>
      </w:rPr>
    </w:lvl>
    <w:lvl w:ilvl="8" w:tplc="08130005" w:tentative="1">
      <w:start w:val="1"/>
      <w:numFmt w:val="bullet"/>
      <w:lvlText w:val=""/>
      <w:lvlJc w:val="left"/>
      <w:pPr>
        <w:ind w:left="8040" w:hanging="360"/>
      </w:pPr>
      <w:rPr>
        <w:rFonts w:ascii="Wingdings" w:hAnsi="Wingdings" w:hint="default"/>
      </w:rPr>
    </w:lvl>
  </w:abstractNum>
  <w:abstractNum w:abstractNumId="6" w15:restartNumberingAfterBreak="0">
    <w:nsid w:val="5B4B069B"/>
    <w:multiLevelType w:val="hybridMultilevel"/>
    <w:tmpl w:val="D5A01580"/>
    <w:lvl w:ilvl="0" w:tplc="0FC0ACD8">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D861F27"/>
    <w:multiLevelType w:val="hybridMultilevel"/>
    <w:tmpl w:val="B72EE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D643F58"/>
    <w:multiLevelType w:val="hybridMultilevel"/>
    <w:tmpl w:val="C17C39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94898241">
    <w:abstractNumId w:val="3"/>
  </w:num>
  <w:num w:numId="2" w16cid:durableId="195584404">
    <w:abstractNumId w:val="8"/>
  </w:num>
  <w:num w:numId="3" w16cid:durableId="1807240986">
    <w:abstractNumId w:val="2"/>
  </w:num>
  <w:num w:numId="4" w16cid:durableId="1192109604">
    <w:abstractNumId w:val="7"/>
  </w:num>
  <w:num w:numId="5" w16cid:durableId="1714184809">
    <w:abstractNumId w:val="0"/>
  </w:num>
  <w:num w:numId="6" w16cid:durableId="417822839">
    <w:abstractNumId w:val="4"/>
  </w:num>
  <w:num w:numId="7" w16cid:durableId="160588030">
    <w:abstractNumId w:val="6"/>
  </w:num>
  <w:num w:numId="8" w16cid:durableId="1178697291">
    <w:abstractNumId w:val="5"/>
  </w:num>
  <w:num w:numId="9" w16cid:durableId="413478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D8"/>
    <w:rsid w:val="00053922"/>
    <w:rsid w:val="00073F20"/>
    <w:rsid w:val="00091F3B"/>
    <w:rsid w:val="000A4213"/>
    <w:rsid w:val="0014356B"/>
    <w:rsid w:val="001936A6"/>
    <w:rsid w:val="001D1756"/>
    <w:rsid w:val="001D28DB"/>
    <w:rsid w:val="001D3CF9"/>
    <w:rsid w:val="00222510"/>
    <w:rsid w:val="00250D6E"/>
    <w:rsid w:val="002743A4"/>
    <w:rsid w:val="002E77D3"/>
    <w:rsid w:val="003256D1"/>
    <w:rsid w:val="00343745"/>
    <w:rsid w:val="00350CD1"/>
    <w:rsid w:val="00383A6D"/>
    <w:rsid w:val="003A15C4"/>
    <w:rsid w:val="003F7D3E"/>
    <w:rsid w:val="00422863"/>
    <w:rsid w:val="00445095"/>
    <w:rsid w:val="0046235F"/>
    <w:rsid w:val="00481E31"/>
    <w:rsid w:val="00492171"/>
    <w:rsid w:val="004A3522"/>
    <w:rsid w:val="004A4AA5"/>
    <w:rsid w:val="004E0423"/>
    <w:rsid w:val="004E2008"/>
    <w:rsid w:val="00515D5B"/>
    <w:rsid w:val="00533872"/>
    <w:rsid w:val="005503DE"/>
    <w:rsid w:val="00552E08"/>
    <w:rsid w:val="00554077"/>
    <w:rsid w:val="0057420D"/>
    <w:rsid w:val="00580E17"/>
    <w:rsid w:val="005B6AC7"/>
    <w:rsid w:val="00625ADB"/>
    <w:rsid w:val="00632CD3"/>
    <w:rsid w:val="0064062A"/>
    <w:rsid w:val="006A3861"/>
    <w:rsid w:val="006A3C4F"/>
    <w:rsid w:val="006B055E"/>
    <w:rsid w:val="00706E55"/>
    <w:rsid w:val="00717F4D"/>
    <w:rsid w:val="00726080"/>
    <w:rsid w:val="00727146"/>
    <w:rsid w:val="007A6711"/>
    <w:rsid w:val="00803A3B"/>
    <w:rsid w:val="00812FAD"/>
    <w:rsid w:val="0088416C"/>
    <w:rsid w:val="008D5292"/>
    <w:rsid w:val="00900D0E"/>
    <w:rsid w:val="009D495C"/>
    <w:rsid w:val="009E21AA"/>
    <w:rsid w:val="009E3EFD"/>
    <w:rsid w:val="00A81B43"/>
    <w:rsid w:val="00AB1BC2"/>
    <w:rsid w:val="00AD1DA3"/>
    <w:rsid w:val="00B204D8"/>
    <w:rsid w:val="00B56E33"/>
    <w:rsid w:val="00BE1D36"/>
    <w:rsid w:val="00BE4788"/>
    <w:rsid w:val="00C07E7B"/>
    <w:rsid w:val="00C8470E"/>
    <w:rsid w:val="00CA0582"/>
    <w:rsid w:val="00D033C2"/>
    <w:rsid w:val="00D70DBD"/>
    <w:rsid w:val="00D75702"/>
    <w:rsid w:val="00D85F76"/>
    <w:rsid w:val="00DF217B"/>
    <w:rsid w:val="00E33D4E"/>
    <w:rsid w:val="00EA19AE"/>
    <w:rsid w:val="00ED4441"/>
    <w:rsid w:val="00F368F3"/>
    <w:rsid w:val="00F55955"/>
    <w:rsid w:val="00FE4E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46863"/>
  <w15:chartTrackingRefBased/>
  <w15:docId w15:val="{1F1FC31B-FB71-4322-B15D-2E7050B1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03DE"/>
    <w:pPr>
      <w:ind w:left="720"/>
      <w:contextualSpacing/>
    </w:pPr>
  </w:style>
  <w:style w:type="paragraph" w:styleId="Koptekst">
    <w:name w:val="header"/>
    <w:basedOn w:val="Standaard"/>
    <w:link w:val="KoptekstChar"/>
    <w:uiPriority w:val="99"/>
    <w:unhideWhenUsed/>
    <w:rsid w:val="00DF21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217B"/>
    <w:rPr>
      <w:lang w:val="fr-BE"/>
    </w:rPr>
  </w:style>
  <w:style w:type="paragraph" w:styleId="Voettekst">
    <w:name w:val="footer"/>
    <w:basedOn w:val="Standaard"/>
    <w:link w:val="VoettekstChar"/>
    <w:uiPriority w:val="99"/>
    <w:unhideWhenUsed/>
    <w:rsid w:val="00DF21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217B"/>
    <w:rPr>
      <w:lang w:val="fr-BE"/>
    </w:rPr>
  </w:style>
  <w:style w:type="table" w:styleId="Tabelraster">
    <w:name w:val="Table Grid"/>
    <w:basedOn w:val="Standaardtabel"/>
    <w:uiPriority w:val="59"/>
    <w:rsid w:val="00DF217B"/>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70DBD"/>
    <w:rPr>
      <w:sz w:val="16"/>
      <w:szCs w:val="16"/>
    </w:rPr>
  </w:style>
  <w:style w:type="paragraph" w:styleId="Tekstopmerking">
    <w:name w:val="annotation text"/>
    <w:basedOn w:val="Standaard"/>
    <w:link w:val="TekstopmerkingChar"/>
    <w:uiPriority w:val="99"/>
    <w:unhideWhenUsed/>
    <w:rsid w:val="00D70DBD"/>
    <w:pPr>
      <w:spacing w:line="240" w:lineRule="auto"/>
    </w:pPr>
    <w:rPr>
      <w:sz w:val="20"/>
      <w:szCs w:val="20"/>
    </w:rPr>
  </w:style>
  <w:style w:type="character" w:customStyle="1" w:styleId="TekstopmerkingChar">
    <w:name w:val="Tekst opmerking Char"/>
    <w:basedOn w:val="Standaardalinea-lettertype"/>
    <w:link w:val="Tekstopmerking"/>
    <w:uiPriority w:val="99"/>
    <w:rsid w:val="00D70DBD"/>
    <w:rPr>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D70DBD"/>
    <w:rPr>
      <w:b/>
      <w:bCs/>
    </w:rPr>
  </w:style>
  <w:style w:type="character" w:customStyle="1" w:styleId="OnderwerpvanopmerkingChar">
    <w:name w:val="Onderwerp van opmerking Char"/>
    <w:basedOn w:val="TekstopmerkingChar"/>
    <w:link w:val="Onderwerpvanopmerking"/>
    <w:uiPriority w:val="99"/>
    <w:semiHidden/>
    <w:rsid w:val="00D70DBD"/>
    <w:rPr>
      <w:b/>
      <w:bCs/>
      <w:sz w:val="20"/>
      <w:szCs w:val="20"/>
      <w:lang w:val="fr-BE"/>
    </w:rPr>
  </w:style>
  <w:style w:type="paragraph" w:styleId="Ballontekst">
    <w:name w:val="Balloon Text"/>
    <w:basedOn w:val="Standaard"/>
    <w:link w:val="BallontekstChar"/>
    <w:uiPriority w:val="99"/>
    <w:semiHidden/>
    <w:unhideWhenUsed/>
    <w:rsid w:val="00D70D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0DBD"/>
    <w:rPr>
      <w:rFonts w:ascii="Segoe UI" w:hAnsi="Segoe UI" w:cs="Segoe UI"/>
      <w:sz w:val="18"/>
      <w:szCs w:val="18"/>
      <w:lang w:val="fr-BE"/>
    </w:rPr>
  </w:style>
  <w:style w:type="character" w:styleId="Hyperlink">
    <w:name w:val="Hyperlink"/>
    <w:basedOn w:val="Standaardalinea-lettertype"/>
    <w:uiPriority w:val="99"/>
    <w:unhideWhenUsed/>
    <w:rsid w:val="004E04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8a0b6-c5c3-458e-9f4f-8daa5c5152d9">
      <Terms xmlns="http://schemas.microsoft.com/office/infopath/2007/PartnerControls"/>
    </lcf76f155ced4ddcb4097134ff3c332f>
    <datum xmlns="5908a0b6-c5c3-458e-9f4f-8daa5c5152d9" xsi:nil="true"/>
    <TaxCatchAll xmlns="f7abbfbe-d7a8-4914-aa14-d09c09a5d2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08614C5BF20944955C075D5D9C8EC8" ma:contentTypeVersion="26" ma:contentTypeDescription="Een nieuw document maken." ma:contentTypeScope="" ma:versionID="29825238de65e6d024ba70195c8897c3">
  <xsd:schema xmlns:xsd="http://www.w3.org/2001/XMLSchema" xmlns:xs="http://www.w3.org/2001/XMLSchema" xmlns:p="http://schemas.microsoft.com/office/2006/metadata/properties" xmlns:ns2="5908a0b6-c5c3-458e-9f4f-8daa5c5152d9" xmlns:ns3="f7abbfbe-d7a8-4914-aa14-d09c09a5d23c" targetNamespace="http://schemas.microsoft.com/office/2006/metadata/properties" ma:root="true" ma:fieldsID="61cb9e388f48abdd2267e43fcb6f3154" ns2:_="" ns3:_="">
    <xsd:import namespace="5908a0b6-c5c3-458e-9f4f-8daa5c5152d9"/>
    <xsd:import namespace="f7abbfbe-d7a8-4914-aa14-d09c09a5d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datum"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8a0b6-c5c3-458e-9f4f-8daa5c515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datum" ma:index="14" nillable="true" ma:displayName="datum" ma:format="DateTime" ma:internalName="datum">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0bd2eb8-1578-40b2-97d5-67b1fe595a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bbfbe-d7a8-4914-aa14-d09c09a5d23c"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7d3c4df-a0b0-4fb7-b442-48b9e1567b79}" ma:internalName="TaxCatchAll" ma:showField="CatchAllData" ma:web="f7abbfbe-d7a8-4914-aa14-d09c09a5d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957DC-A43A-43FD-9141-0BD2D9290B5C}">
  <ds:schemaRefs>
    <ds:schemaRef ds:uri="http://schemas.microsoft.com/sharepoint/v3/contenttype/forms"/>
  </ds:schemaRefs>
</ds:datastoreItem>
</file>

<file path=customXml/itemProps2.xml><?xml version="1.0" encoding="utf-8"?>
<ds:datastoreItem xmlns:ds="http://schemas.openxmlformats.org/officeDocument/2006/customXml" ds:itemID="{89B335D0-4B98-4322-AC89-5E4AF1F3E255}">
  <ds:schemaRefs>
    <ds:schemaRef ds:uri="http://purl.org/dc/terms/"/>
    <ds:schemaRef ds:uri="http://schemas.microsoft.com/office/2006/documentManagement/types"/>
    <ds:schemaRef ds:uri="http://schemas.microsoft.com/office/2006/metadata/properties"/>
    <ds:schemaRef ds:uri="http://purl.org/dc/elements/1.1/"/>
    <ds:schemaRef ds:uri="5908a0b6-c5c3-458e-9f4f-8daa5c5152d9"/>
    <ds:schemaRef ds:uri="f7abbfbe-d7a8-4914-aa14-d09c09a5d23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7A4B1C-2711-419E-9CF6-A120190C1F9B}">
  <ds:schemaRefs>
    <ds:schemaRef ds:uri="http://schemas.openxmlformats.org/officeDocument/2006/bibliography"/>
  </ds:schemaRefs>
</ds:datastoreItem>
</file>

<file path=customXml/itemProps4.xml><?xml version="1.0" encoding="utf-8"?>
<ds:datastoreItem xmlns:ds="http://schemas.openxmlformats.org/officeDocument/2006/customXml" ds:itemID="{B814997A-EC8E-40ED-9D51-F1BF524E7D48}"/>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4240</Characters>
  <Application>Microsoft Office Word</Application>
  <DocSecurity>0</DocSecurity>
  <Lines>35</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Berghe Cathy</dc:creator>
  <cp:keywords/>
  <dc:description/>
  <cp:lastModifiedBy>Laurijssen Robine</cp:lastModifiedBy>
  <cp:revision>5</cp:revision>
  <dcterms:created xsi:type="dcterms:W3CDTF">2021-07-27T14:28:00Z</dcterms:created>
  <dcterms:modified xsi:type="dcterms:W3CDTF">2024-02-07T14:05:00Z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0x0101000E08614C5BF20944955C075D5D9C8EC8</vt:lpwstr>
  </property>
  <property fmtid="{D5CDD505-2E9C-101B-9397-08002B2CF9AE}" pid="3" name="MediaServiceImageTags">
    <vt:lpwstr/>
  </property>
</Properties>
</file>